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0D1FE" w14:textId="77777777" w:rsidR="004D7FC3" w:rsidRDefault="004D7FC3" w:rsidP="004D7FC3">
      <w:pPr>
        <w:shd w:val="clear" w:color="auto" w:fill="BA955E"/>
        <w:ind w:left="0"/>
        <w:jc w:val="center"/>
        <w:rPr>
          <w:sz w:val="28"/>
          <w:szCs w:val="36"/>
          <w:lang w:eastAsia="fr-FR"/>
        </w:rPr>
      </w:pPr>
      <w:r>
        <w:rPr>
          <w:sz w:val="28"/>
          <w:szCs w:val="36"/>
          <w:lang w:eastAsia="fr-FR"/>
        </w:rPr>
        <w:t xml:space="preserve">FICHE DETAILLEE </w:t>
      </w:r>
    </w:p>
    <w:p w14:paraId="1DB95394" w14:textId="2F4473E1" w:rsidR="003F5071" w:rsidRPr="00BE5F67" w:rsidRDefault="004D7FC3" w:rsidP="003F5071">
      <w:pPr>
        <w:shd w:val="clear" w:color="auto" w:fill="BA955E"/>
        <w:ind w:left="0"/>
        <w:jc w:val="center"/>
        <w:rPr>
          <w:rFonts w:asciiTheme="minorHAnsi" w:hAnsiTheme="minorHAnsi" w:cstheme="minorHAnsi"/>
          <w:b/>
          <w:bCs/>
          <w:sz w:val="22"/>
          <w:szCs w:val="28"/>
          <w:lang w:eastAsia="fr-FR"/>
        </w:rPr>
      </w:pPr>
      <w:r>
        <w:rPr>
          <w:sz w:val="28"/>
          <w:szCs w:val="36"/>
          <w:lang w:eastAsia="fr-FR"/>
        </w:rPr>
        <w:t>Thématique n°</w:t>
      </w:r>
      <w:r w:rsidR="00BC7D15">
        <w:rPr>
          <w:sz w:val="28"/>
          <w:szCs w:val="36"/>
          <w:lang w:eastAsia="fr-FR"/>
        </w:rPr>
        <w:t>2</w:t>
      </w:r>
      <w:r>
        <w:rPr>
          <w:sz w:val="28"/>
          <w:szCs w:val="36"/>
          <w:lang w:eastAsia="fr-FR"/>
        </w:rPr>
        <w:t xml:space="preserve"> : </w:t>
      </w:r>
      <w:r w:rsidR="003F5071">
        <w:rPr>
          <w:rFonts w:asciiTheme="minorHAnsi" w:hAnsiTheme="minorHAnsi" w:cstheme="minorHAnsi"/>
          <w:b/>
          <w:bCs/>
          <w:sz w:val="28"/>
          <w:szCs w:val="28"/>
          <w14:shadow w14:blurRad="50800" w14:dist="50800" w14:dir="5400000" w14:sx="0" w14:sy="0" w14:kx="0" w14:ky="0" w14:algn="ctr">
            <w14:schemeClr w14:val="bg1"/>
          </w14:shadow>
        </w:rPr>
        <w:t>Construire des solutions de mobilité pour faciliter le rapprochement des bénéficiaires du RSA aux bassins d’emploi</w:t>
      </w:r>
    </w:p>
    <w:p w14:paraId="221EAF7B" w14:textId="69C82636" w:rsidR="004D7FC3" w:rsidRDefault="004D7FC3" w:rsidP="003F5071">
      <w:pPr>
        <w:shd w:val="clear" w:color="auto" w:fill="BA955E"/>
        <w:ind w:left="0"/>
        <w:jc w:val="center"/>
      </w:pPr>
    </w:p>
    <w:p w14:paraId="0E3ECAF8" w14:textId="77777777" w:rsidR="004D7FC3" w:rsidRDefault="004D7FC3" w:rsidP="004D7FC3">
      <w:pPr>
        <w:pStyle w:val="Sansinterligne"/>
      </w:pPr>
    </w:p>
    <w:p w14:paraId="19FD31EF" w14:textId="77777777" w:rsidR="004D7FC3" w:rsidRPr="00BE5F67" w:rsidRDefault="004D7FC3" w:rsidP="004D7FC3">
      <w:pPr>
        <w:pStyle w:val="Sansinterligne"/>
        <w:shd w:val="clear" w:color="auto" w:fill="1F3864" w:themeFill="accent1" w:themeFillShade="80"/>
        <w:rPr>
          <w:b/>
          <w:bCs/>
          <w:sz w:val="24"/>
          <w:szCs w:val="24"/>
        </w:rPr>
      </w:pPr>
      <w:r>
        <w:rPr>
          <w:b/>
          <w:bCs/>
          <w:sz w:val="24"/>
          <w:szCs w:val="24"/>
        </w:rPr>
        <w:t>RAPPEL DU CONTEXTE</w:t>
      </w:r>
    </w:p>
    <w:p w14:paraId="6459E7BA" w14:textId="77777777" w:rsidR="003F5071" w:rsidRDefault="003F5071" w:rsidP="003F5071">
      <w:pPr>
        <w:pStyle w:val="Sansinterligne"/>
        <w:jc w:val="both"/>
      </w:pPr>
    </w:p>
    <w:p w14:paraId="5472F270" w14:textId="77571F55" w:rsidR="003F5071" w:rsidRDefault="003F5071" w:rsidP="003F5071">
      <w:pPr>
        <w:pStyle w:val="Sansinterligne"/>
        <w:jc w:val="both"/>
      </w:pPr>
      <w:r>
        <w:t xml:space="preserve">Grâce à une meilleur interconnaissance des acteurs du territoire, des publics et des besoins, nous avons pu constater que l’un des freins au retour à l’emploi et à l’insertion professionnelle l’absence de solution de mobilité en raison d’un éloignement géographique des bassins d’emploi mais également des difficultés de projection des bénéficiaires dans leurs déplacements. </w:t>
      </w:r>
    </w:p>
    <w:p w14:paraId="58CBA121" w14:textId="77777777" w:rsidR="003F5071" w:rsidRDefault="003F5071" w:rsidP="003F5071">
      <w:pPr>
        <w:pStyle w:val="Sansinterligne"/>
        <w:jc w:val="both"/>
      </w:pPr>
    </w:p>
    <w:p w14:paraId="16F16527" w14:textId="77777777" w:rsidR="003F5071" w:rsidRPr="001567B2" w:rsidRDefault="003F5071" w:rsidP="003F5071">
      <w:pPr>
        <w:pStyle w:val="Sansinterligne"/>
        <w:jc w:val="both"/>
      </w:pPr>
      <w:r w:rsidRPr="001567B2">
        <w:t xml:space="preserve">Sur une population de 8 203 bénéficiaires du RSA </w:t>
      </w:r>
      <w:r w:rsidRPr="001567B2">
        <w:rPr>
          <w:i/>
          <w:iCs/>
        </w:rPr>
        <w:t>(au 31/08/2025)</w:t>
      </w:r>
      <w:r w:rsidRPr="001567B2">
        <w:t>, 3 280 personnes déclarent avoir un frein mobilité à l’entrée au RSA. Pour ce qui concerne la notion de frein bloquant à l’accès à l’emploi, 1 920</w:t>
      </w:r>
      <w:r>
        <w:rPr>
          <w:rStyle w:val="Appelnotedebasdep"/>
        </w:rPr>
        <w:footnoteReference w:id="1"/>
      </w:r>
      <w:r w:rsidRPr="001567B2">
        <w:t xml:space="preserve"> personnes sont concernées par cette difficulté. </w:t>
      </w:r>
    </w:p>
    <w:p w14:paraId="45C24DCD" w14:textId="77777777" w:rsidR="003F5071" w:rsidRDefault="003F5071" w:rsidP="003F5071">
      <w:pPr>
        <w:pStyle w:val="Sansinterligne"/>
        <w:jc w:val="both"/>
      </w:pPr>
    </w:p>
    <w:p w14:paraId="4A2F99FF" w14:textId="77777777" w:rsidR="003F5071" w:rsidRDefault="003F5071" w:rsidP="003F5071">
      <w:pPr>
        <w:pStyle w:val="Sansinterligne"/>
        <w:jc w:val="both"/>
      </w:pPr>
      <w:r>
        <w:t xml:space="preserve">Par conséquent, nous lançons cet appel à projet pour permettre aux structures du territoire de repenser et renforcer leur offre de service dans ce domaine. </w:t>
      </w:r>
    </w:p>
    <w:p w14:paraId="702F8260" w14:textId="77777777" w:rsidR="004D7FC3" w:rsidRDefault="004D7FC3" w:rsidP="004D7FC3">
      <w:pPr>
        <w:pStyle w:val="Sansinterligne"/>
        <w:jc w:val="both"/>
      </w:pPr>
    </w:p>
    <w:p w14:paraId="69A9900A" w14:textId="77777777" w:rsidR="004D7FC3" w:rsidRDefault="004D7FC3" w:rsidP="004D7FC3">
      <w:pPr>
        <w:pStyle w:val="Sansinterligne"/>
        <w:jc w:val="both"/>
      </w:pPr>
    </w:p>
    <w:p w14:paraId="2907B084" w14:textId="77777777" w:rsidR="004D7FC3" w:rsidRPr="004A7662" w:rsidRDefault="004D7FC3" w:rsidP="004D7FC3">
      <w:pPr>
        <w:pStyle w:val="Sansinterligne"/>
        <w:shd w:val="clear" w:color="auto" w:fill="1F3864" w:themeFill="accent1" w:themeFillShade="80"/>
        <w:rPr>
          <w:b/>
          <w:bCs/>
          <w:sz w:val="24"/>
          <w:szCs w:val="24"/>
        </w:rPr>
      </w:pPr>
      <w:r>
        <w:rPr>
          <w:b/>
          <w:bCs/>
          <w:sz w:val="24"/>
          <w:szCs w:val="24"/>
        </w:rPr>
        <w:t>LES OBJECTIFS DE L’APPEL A PROJET</w:t>
      </w:r>
    </w:p>
    <w:p w14:paraId="270B8C79" w14:textId="77777777" w:rsidR="004D7FC3" w:rsidRDefault="004D7FC3" w:rsidP="004D7FC3">
      <w:pPr>
        <w:pStyle w:val="Sansinterligne"/>
        <w:jc w:val="both"/>
      </w:pPr>
    </w:p>
    <w:p w14:paraId="6E1BA26D" w14:textId="77777777" w:rsidR="003F5071" w:rsidRDefault="003F5071" w:rsidP="003F5071">
      <w:pPr>
        <w:pStyle w:val="Sansinterligne"/>
        <w:numPr>
          <w:ilvl w:val="0"/>
          <w:numId w:val="1"/>
        </w:numPr>
      </w:pPr>
      <w:r>
        <w:t>Soutenir des actions innovantes pour l’accompagnement des BRSA,</w:t>
      </w:r>
    </w:p>
    <w:p w14:paraId="3533272F" w14:textId="77777777" w:rsidR="003F5071" w:rsidRDefault="003F5071" w:rsidP="003F5071">
      <w:pPr>
        <w:pStyle w:val="Sansinterligne"/>
        <w:numPr>
          <w:ilvl w:val="0"/>
          <w:numId w:val="1"/>
        </w:numPr>
      </w:pPr>
      <w:r>
        <w:t>Le présent appel à projet n’a pas pour vocation de financer ou renforcer l’offre déjà existante de plateforme de mobilité,</w:t>
      </w:r>
    </w:p>
    <w:p w14:paraId="06730C05" w14:textId="77777777" w:rsidR="003F5071" w:rsidRDefault="003F5071" w:rsidP="003F5071">
      <w:pPr>
        <w:pStyle w:val="Sansinterligne"/>
        <w:numPr>
          <w:ilvl w:val="0"/>
          <w:numId w:val="1"/>
        </w:numPr>
      </w:pPr>
      <w:r>
        <w:t>Accompagner à la prise de conscience des solutions possibles pour se projeter au retour à l’emploi,</w:t>
      </w:r>
    </w:p>
    <w:p w14:paraId="06A0DC69" w14:textId="77777777" w:rsidR="003F5071" w:rsidRDefault="003F5071" w:rsidP="003F5071">
      <w:pPr>
        <w:pStyle w:val="Sansinterligne"/>
        <w:numPr>
          <w:ilvl w:val="0"/>
          <w:numId w:val="1"/>
        </w:numPr>
      </w:pPr>
      <w:r>
        <w:t>Venir en appui à l’installation des bénéficiaires sur le bassin d’emploi,</w:t>
      </w:r>
    </w:p>
    <w:p w14:paraId="64344B49" w14:textId="77777777" w:rsidR="003F5071" w:rsidRDefault="003F5071" w:rsidP="003F5071">
      <w:pPr>
        <w:pStyle w:val="Sansinterligne"/>
        <w:numPr>
          <w:ilvl w:val="0"/>
          <w:numId w:val="1"/>
        </w:numPr>
        <w:jc w:val="both"/>
      </w:pPr>
      <w:r>
        <w:t>Contribuer à l’attractivité territoriale,</w:t>
      </w:r>
    </w:p>
    <w:p w14:paraId="453910A0" w14:textId="77777777" w:rsidR="003F5071" w:rsidRDefault="003F5071" w:rsidP="003F5071">
      <w:pPr>
        <w:pStyle w:val="Sansinterligne"/>
        <w:numPr>
          <w:ilvl w:val="0"/>
          <w:numId w:val="1"/>
        </w:numPr>
        <w:jc w:val="both"/>
      </w:pPr>
      <w:r>
        <w:t xml:space="preserve">Adapter la réponse en fonction du nombre de bénéficiaire du RSA sur le secteur d’action. </w:t>
      </w:r>
      <w:r w:rsidRPr="00AD7A3F">
        <w:rPr>
          <w:i/>
          <w:iCs/>
          <w:sz w:val="20"/>
          <w:szCs w:val="20"/>
        </w:rPr>
        <w:t>(Voir tableau en annexe).</w:t>
      </w:r>
    </w:p>
    <w:p w14:paraId="6155F888" w14:textId="77777777" w:rsidR="004D7FC3" w:rsidRDefault="004D7FC3" w:rsidP="004D7FC3">
      <w:pPr>
        <w:pStyle w:val="Sansinterligne"/>
        <w:jc w:val="both"/>
      </w:pPr>
    </w:p>
    <w:p w14:paraId="3A2C7470" w14:textId="77777777" w:rsidR="004D7FC3" w:rsidRDefault="004D7FC3" w:rsidP="004D7FC3">
      <w:pPr>
        <w:pStyle w:val="Sansinterligne"/>
        <w:jc w:val="both"/>
      </w:pPr>
    </w:p>
    <w:p w14:paraId="567BD044"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LE PUBLIC CIBLE</w:t>
      </w:r>
    </w:p>
    <w:p w14:paraId="66F1A9E7" w14:textId="77777777" w:rsidR="004D7FC3" w:rsidRDefault="004D7FC3" w:rsidP="004D7FC3">
      <w:pPr>
        <w:pStyle w:val="Sansinterligne"/>
        <w:jc w:val="both"/>
      </w:pPr>
    </w:p>
    <w:p w14:paraId="600FDDA8" w14:textId="77777777" w:rsidR="004D7FC3" w:rsidRDefault="004D7FC3" w:rsidP="004D7FC3">
      <w:pPr>
        <w:pStyle w:val="Sansinterligne"/>
        <w:numPr>
          <w:ilvl w:val="0"/>
          <w:numId w:val="2"/>
        </w:numPr>
      </w:pPr>
      <w:r>
        <w:t xml:space="preserve">Bénéficiaires du RSA du Département de Saône et Loire. </w:t>
      </w:r>
    </w:p>
    <w:p w14:paraId="5BB74E98" w14:textId="77777777" w:rsidR="004D7FC3" w:rsidRDefault="004D7FC3" w:rsidP="004D7FC3">
      <w:pPr>
        <w:pStyle w:val="Sansinterligne"/>
        <w:ind w:left="1068"/>
        <w:jc w:val="both"/>
      </w:pPr>
    </w:p>
    <w:p w14:paraId="224F11E2" w14:textId="77777777" w:rsidR="004D7FC3" w:rsidRDefault="004D7FC3" w:rsidP="004D7FC3">
      <w:pPr>
        <w:pStyle w:val="Sansinterligne"/>
        <w:jc w:val="both"/>
      </w:pPr>
    </w:p>
    <w:p w14:paraId="4E6DDDD2"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PISTES DES ACTIONS FINANCABLES</w:t>
      </w:r>
    </w:p>
    <w:p w14:paraId="67E3AF82" w14:textId="77777777" w:rsidR="004D7FC3" w:rsidRDefault="004D7FC3" w:rsidP="004D7FC3">
      <w:pPr>
        <w:pStyle w:val="Sansinterligne"/>
        <w:jc w:val="both"/>
      </w:pPr>
    </w:p>
    <w:p w14:paraId="6F8FD3F0" w14:textId="77777777" w:rsidR="003F5071" w:rsidRPr="00457AE1" w:rsidRDefault="003F5071" w:rsidP="003F5071">
      <w:pPr>
        <w:pStyle w:val="Sansinterligne"/>
        <w:numPr>
          <w:ilvl w:val="1"/>
          <w:numId w:val="2"/>
        </w:numPr>
        <w:ind w:left="993"/>
        <w:jc w:val="both"/>
      </w:pPr>
      <w:r w:rsidRPr="00457AE1">
        <w:t>Réalisation d’un diagnostic mobilité pour les bénéficiaires du RSA,</w:t>
      </w:r>
    </w:p>
    <w:p w14:paraId="7BC2A342" w14:textId="77777777" w:rsidR="003F5071" w:rsidRDefault="003F5071" w:rsidP="003F5071">
      <w:pPr>
        <w:pStyle w:val="Sansinterligne"/>
        <w:numPr>
          <w:ilvl w:val="1"/>
          <w:numId w:val="2"/>
        </w:numPr>
        <w:ind w:left="993"/>
        <w:jc w:val="both"/>
      </w:pPr>
      <w:r w:rsidRPr="00457AE1">
        <w:t>Proposition d’ateliers à destination des bénéficiaires du RSA,</w:t>
      </w:r>
    </w:p>
    <w:p w14:paraId="74FE0B97" w14:textId="77777777" w:rsidR="003F5071" w:rsidRDefault="003F5071" w:rsidP="003F5071">
      <w:pPr>
        <w:pStyle w:val="Sansinterligne"/>
        <w:numPr>
          <w:ilvl w:val="1"/>
          <w:numId w:val="2"/>
        </w:numPr>
        <w:ind w:left="993"/>
        <w:jc w:val="both"/>
      </w:pPr>
      <w:r>
        <w:t>Travailler à la déconstruction des préjugés sur les solutions de mobilité,</w:t>
      </w:r>
    </w:p>
    <w:p w14:paraId="510FA05B" w14:textId="77777777" w:rsidR="003F5071" w:rsidRPr="00457AE1" w:rsidRDefault="003F5071" w:rsidP="003F5071">
      <w:pPr>
        <w:pStyle w:val="Sansinterligne"/>
        <w:numPr>
          <w:ilvl w:val="1"/>
          <w:numId w:val="2"/>
        </w:numPr>
        <w:ind w:left="993"/>
        <w:jc w:val="both"/>
      </w:pPr>
      <w:r>
        <w:t>Développer l’autonomie des bénéficiaires du RSA,</w:t>
      </w:r>
    </w:p>
    <w:p w14:paraId="5F87B0AD" w14:textId="77777777" w:rsidR="003F5071" w:rsidRPr="00457AE1" w:rsidRDefault="003F5071" w:rsidP="003F5071">
      <w:pPr>
        <w:pStyle w:val="Sansinterligne"/>
        <w:numPr>
          <w:ilvl w:val="1"/>
          <w:numId w:val="2"/>
        </w:numPr>
        <w:ind w:left="993"/>
        <w:jc w:val="both"/>
      </w:pPr>
      <w:r w:rsidRPr="00457AE1">
        <w:t>Création d’un fond pour favoriser l’accès à l’emploi ou à la formation</w:t>
      </w:r>
      <w:r>
        <w:t>,</w:t>
      </w:r>
    </w:p>
    <w:p w14:paraId="7391D315" w14:textId="77777777" w:rsidR="003F5071" w:rsidRPr="00457AE1" w:rsidRDefault="003F5071" w:rsidP="003F5071">
      <w:pPr>
        <w:pStyle w:val="Sansinterligne"/>
        <w:numPr>
          <w:ilvl w:val="1"/>
          <w:numId w:val="2"/>
        </w:numPr>
        <w:ind w:left="993"/>
        <w:jc w:val="both"/>
      </w:pPr>
      <w:r w:rsidRPr="00457AE1">
        <w:t>Renforcer l’offre de service mobilité pour garantir l’accès aux évènements emploi du territoire,</w:t>
      </w:r>
    </w:p>
    <w:p w14:paraId="3C5BBE98" w14:textId="77777777" w:rsidR="003F5071" w:rsidRDefault="003F5071" w:rsidP="003F5071">
      <w:pPr>
        <w:pStyle w:val="Sansinterligne"/>
        <w:numPr>
          <w:ilvl w:val="1"/>
          <w:numId w:val="2"/>
        </w:numPr>
        <w:ind w:left="993"/>
        <w:jc w:val="both"/>
      </w:pPr>
      <w:r w:rsidRPr="00457AE1">
        <w:t>Proposer des actions en lien direct avec des entreprises</w:t>
      </w:r>
    </w:p>
    <w:p w14:paraId="26ABB1B3" w14:textId="77777777" w:rsidR="003F5071" w:rsidRPr="00457AE1" w:rsidRDefault="003F5071" w:rsidP="003F5071">
      <w:pPr>
        <w:pStyle w:val="Sansinterligne"/>
        <w:numPr>
          <w:ilvl w:val="1"/>
          <w:numId w:val="2"/>
        </w:numPr>
        <w:ind w:left="993"/>
        <w:jc w:val="both"/>
      </w:pPr>
      <w:r>
        <w:t xml:space="preserve">… </w:t>
      </w:r>
    </w:p>
    <w:p w14:paraId="1F433510" w14:textId="77777777" w:rsidR="004D7FC3" w:rsidRDefault="004D7FC3" w:rsidP="004D7FC3">
      <w:pPr>
        <w:pStyle w:val="Sansinterligne"/>
        <w:jc w:val="both"/>
      </w:pPr>
    </w:p>
    <w:p w14:paraId="705756FD" w14:textId="77777777" w:rsidR="004D7FC3" w:rsidRPr="00527443" w:rsidRDefault="004D7FC3" w:rsidP="004D7FC3">
      <w:pPr>
        <w:pStyle w:val="Sansinterligne"/>
        <w:shd w:val="clear" w:color="auto" w:fill="1F3864" w:themeFill="accent1" w:themeFillShade="80"/>
        <w:rPr>
          <w:b/>
          <w:bCs/>
          <w:sz w:val="24"/>
          <w:szCs w:val="24"/>
        </w:rPr>
      </w:pPr>
      <w:r>
        <w:rPr>
          <w:b/>
          <w:bCs/>
          <w:sz w:val="24"/>
          <w:szCs w:val="24"/>
        </w:rPr>
        <w:t>DISPOSITIONS FINANCIERES</w:t>
      </w:r>
    </w:p>
    <w:p w14:paraId="61B1203E" w14:textId="77777777" w:rsidR="004D7FC3" w:rsidRDefault="004D7FC3" w:rsidP="004D7FC3">
      <w:pPr>
        <w:pStyle w:val="Corpsdutexte"/>
        <w:spacing w:after="0"/>
        <w:ind w:left="0"/>
        <w:rPr>
          <w:rFonts w:asciiTheme="minorHAnsi" w:eastAsiaTheme="minorHAnsi" w:hAnsiTheme="minorHAnsi" w:cstheme="minorBidi"/>
          <w:sz w:val="22"/>
          <w:szCs w:val="22"/>
          <w:lang w:eastAsia="en-US"/>
        </w:rPr>
      </w:pPr>
    </w:p>
    <w:p w14:paraId="4D5D1DDD" w14:textId="0CDDE1B2" w:rsidR="00245045" w:rsidRDefault="009B5F2D" w:rsidP="00245045">
      <w:pPr>
        <w:pStyle w:val="Corpsdutexte"/>
        <w:spacing w:after="0"/>
        <w:ind w:lef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rPr>
        <w:t xml:space="preserve">Les demandes sont examinées dans la limite des budgets alloués dans le cadre de cet appel à projets </w:t>
      </w:r>
      <w:r w:rsidR="00245045">
        <w:rPr>
          <w:rFonts w:asciiTheme="minorHAnsi" w:eastAsiaTheme="minorHAnsi" w:hAnsiTheme="minorHAnsi" w:cstheme="minorBidi"/>
          <w:sz w:val="22"/>
          <w:szCs w:val="22"/>
          <w:lang w:eastAsia="en-US"/>
        </w:rPr>
        <w:t>tout en tenant compte d’un équilibre territorial dans la répartition des actions retenues. La déclinaison territoriale s’appuie sur une répartition équilibrée des actions entre :</w:t>
      </w:r>
    </w:p>
    <w:p w14:paraId="084F7CDB" w14:textId="77777777" w:rsidR="00245045" w:rsidRDefault="00245045" w:rsidP="00245045">
      <w:pPr>
        <w:pStyle w:val="Corpsdutexte"/>
        <w:spacing w:after="0"/>
        <w:ind w:left="0"/>
        <w:rPr>
          <w:rFonts w:asciiTheme="minorHAnsi" w:eastAsiaTheme="minorHAnsi" w:hAnsiTheme="minorHAnsi" w:cstheme="minorBidi"/>
          <w:sz w:val="22"/>
          <w:szCs w:val="22"/>
          <w:lang w:eastAsia="en-US"/>
        </w:rPr>
      </w:pPr>
    </w:p>
    <w:p w14:paraId="6C75A1AB" w14:textId="77777777" w:rsidR="00245045" w:rsidRDefault="00245045" w:rsidP="00245045">
      <w:pPr>
        <w:pStyle w:val="Corpsdutexte"/>
        <w:numPr>
          <w:ilvl w:val="0"/>
          <w:numId w:val="7"/>
        </w:numPr>
        <w:spacing w:after="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Les territoires urbains,</w:t>
      </w:r>
    </w:p>
    <w:p w14:paraId="77C7FB3A" w14:textId="77777777" w:rsidR="00245045" w:rsidRDefault="00245045" w:rsidP="00245045">
      <w:pPr>
        <w:pStyle w:val="Corpsdutexte"/>
        <w:numPr>
          <w:ilvl w:val="0"/>
          <w:numId w:val="7"/>
        </w:numPr>
        <w:spacing w:after="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Les territoires ruraux, avec un attention particulière portée aux zones les plus éloignées de l’offre existante</w:t>
      </w:r>
    </w:p>
    <w:p w14:paraId="4DFDE5AB" w14:textId="77777777" w:rsidR="00245045" w:rsidRDefault="00245045" w:rsidP="00245045">
      <w:pPr>
        <w:pStyle w:val="Corpsdutexte"/>
        <w:spacing w:after="0"/>
        <w:ind w:left="0"/>
        <w:rPr>
          <w:rFonts w:asciiTheme="minorHAnsi" w:eastAsiaTheme="minorHAnsi" w:hAnsiTheme="minorHAnsi" w:cstheme="minorBidi"/>
          <w:sz w:val="22"/>
          <w:szCs w:val="22"/>
          <w:lang w:eastAsia="en-US"/>
        </w:rPr>
      </w:pPr>
    </w:p>
    <w:p w14:paraId="2060A5DE" w14:textId="77777777" w:rsidR="00245045" w:rsidRDefault="00245045" w:rsidP="00245045">
      <w:pPr>
        <w:pStyle w:val="Corpsdutexte"/>
        <w:spacing w:after="0"/>
        <w:ind w:lef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Si le candidat sollicite d’autres financeurs, il fait apparaître l’ensemble des subventions sollicitées dans le budget prévisionnel de l’action.</w:t>
      </w:r>
    </w:p>
    <w:p w14:paraId="36C7F9D6" w14:textId="77777777" w:rsidR="00245045" w:rsidRDefault="00245045" w:rsidP="00245045">
      <w:pPr>
        <w:pStyle w:val="Corpsdutexte"/>
        <w:spacing w:after="0"/>
        <w:ind w:left="0"/>
        <w:rPr>
          <w:rFonts w:asciiTheme="minorHAnsi" w:eastAsiaTheme="minorHAnsi" w:hAnsiTheme="minorHAnsi" w:cstheme="minorBidi"/>
          <w:sz w:val="22"/>
          <w:szCs w:val="22"/>
          <w:lang w:eastAsia="en-US"/>
        </w:rPr>
      </w:pPr>
    </w:p>
    <w:p w14:paraId="30C84575" w14:textId="77777777" w:rsidR="00245045" w:rsidRDefault="00245045" w:rsidP="00245045">
      <w:pPr>
        <w:spacing w:after="120"/>
        <w:ind w:left="0"/>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Conformément au règlement financier département, il est prévu de séquencer les versements par année en prévoyant : </w:t>
      </w:r>
    </w:p>
    <w:p w14:paraId="0E1D749F" w14:textId="77777777" w:rsidR="00245045" w:rsidRDefault="00245045" w:rsidP="00245045">
      <w:pPr>
        <w:pStyle w:val="Paragraphedeliste"/>
        <w:numPr>
          <w:ilvl w:val="0"/>
          <w:numId w:val="8"/>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2026 : 80% à la signature, puis solde de 20% au vu du bilan 2026</w:t>
      </w:r>
    </w:p>
    <w:p w14:paraId="1B0FA672" w14:textId="77777777" w:rsidR="00245045" w:rsidRDefault="00245045" w:rsidP="00245045">
      <w:pPr>
        <w:pStyle w:val="Paragraphedeliste"/>
        <w:numPr>
          <w:ilvl w:val="0"/>
          <w:numId w:val="8"/>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2027 : 80% après le vote du BP et solde 2027 au vu du bilan 2027</w:t>
      </w:r>
    </w:p>
    <w:p w14:paraId="42711D1C" w14:textId="77777777" w:rsidR="00245045" w:rsidRDefault="00245045" w:rsidP="00245045">
      <w:pPr>
        <w:pStyle w:val="Paragraphedeliste"/>
        <w:numPr>
          <w:ilvl w:val="0"/>
          <w:numId w:val="8"/>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2028 : 80% après le vote du BP, et solde au vu du bilan 2028 et du bilan récapitulatif global</w:t>
      </w:r>
    </w:p>
    <w:p w14:paraId="08768FC5" w14:textId="77777777" w:rsidR="00245045" w:rsidRDefault="00245045" w:rsidP="00245045">
      <w:pPr>
        <w:pStyle w:val="Sansinterligne"/>
        <w:tabs>
          <w:tab w:val="left" w:pos="1710"/>
        </w:tabs>
        <w:jc w:val="both"/>
      </w:pPr>
      <w:r>
        <w:t>L’attribution et le versement du financement sont conditionnés à l’évaluation des résultats obtenus et à l’atteinte des objectifs contractualisés. En cas d’écart significatif entre les objectifs fixés et les résultats constatés, un ajustement pourra être opéré sur le solde du paiement dû au titre de l’année écoulée.</w:t>
      </w:r>
    </w:p>
    <w:p w14:paraId="47762ED0" w14:textId="77777777" w:rsidR="00245045" w:rsidRDefault="00245045" w:rsidP="00245045">
      <w:pPr>
        <w:pStyle w:val="Sansinterligne"/>
        <w:tabs>
          <w:tab w:val="left" w:pos="1710"/>
        </w:tabs>
        <w:jc w:val="both"/>
      </w:pPr>
    </w:p>
    <w:p w14:paraId="1BEECEE3" w14:textId="7935D735" w:rsidR="00245045" w:rsidRDefault="00245045" w:rsidP="00245045">
      <w:pPr>
        <w:pStyle w:val="Sansinterligne"/>
        <w:jc w:val="both"/>
      </w:pPr>
      <w:r>
        <w:t>L’action sera finançable sur une durée de six mois puis renouvelable par année civile jusqu’à la fin de la SDIE soit le 31 décembre 2028, sous réserve du vote du budget du département.</w:t>
      </w:r>
    </w:p>
    <w:p w14:paraId="218E100E" w14:textId="620AB00B" w:rsidR="00245045" w:rsidRDefault="00245045" w:rsidP="00245045">
      <w:pPr>
        <w:pStyle w:val="Sansinterligne"/>
        <w:jc w:val="both"/>
      </w:pPr>
    </w:p>
    <w:p w14:paraId="4F10705C" w14:textId="77777777" w:rsidR="00245045" w:rsidRDefault="00245045" w:rsidP="00245045">
      <w:pPr>
        <w:pStyle w:val="Sansinterligne"/>
        <w:jc w:val="both"/>
      </w:pPr>
    </w:p>
    <w:p w14:paraId="23EB99B5" w14:textId="77777777" w:rsidR="004D7FC3" w:rsidRPr="005E262F" w:rsidRDefault="004D7FC3" w:rsidP="004D7FC3">
      <w:pPr>
        <w:pStyle w:val="Sansinterligne"/>
        <w:shd w:val="clear" w:color="auto" w:fill="1F3864" w:themeFill="accent1" w:themeFillShade="80"/>
        <w:rPr>
          <w:b/>
          <w:bCs/>
          <w:sz w:val="24"/>
          <w:szCs w:val="24"/>
        </w:rPr>
      </w:pPr>
      <w:r w:rsidRPr="005E262F">
        <w:rPr>
          <w:b/>
          <w:bCs/>
          <w:sz w:val="24"/>
          <w:szCs w:val="24"/>
        </w:rPr>
        <w:t>LE SUIVI ET L’EVALUATION</w:t>
      </w:r>
    </w:p>
    <w:p w14:paraId="207481B5" w14:textId="77777777" w:rsidR="004D7FC3" w:rsidRPr="005E262F" w:rsidRDefault="004D7FC3" w:rsidP="004D7FC3">
      <w:pPr>
        <w:pStyle w:val="Sansinterligne"/>
        <w:jc w:val="both"/>
      </w:pPr>
    </w:p>
    <w:p w14:paraId="3534D1DA" w14:textId="77777777" w:rsidR="004559F6" w:rsidRDefault="004559F6" w:rsidP="004559F6">
      <w:pPr>
        <w:pStyle w:val="Sansinterligne"/>
        <w:jc w:val="both"/>
      </w:pPr>
      <w:r w:rsidRPr="00656723">
        <w:t xml:space="preserve">Une instance de suivi réunissant les parties prenantes sera constituée afin de garantir un échange, si nécessaire, entre les parties prenantes, et permettra d’assurer un pilotage partagé du dispositif et d’ajuster les actions engagées au regard des objectifs fixés par le Département. </w:t>
      </w:r>
    </w:p>
    <w:p w14:paraId="46637B53" w14:textId="77777777" w:rsidR="004559F6" w:rsidRDefault="004559F6" w:rsidP="004559F6">
      <w:pPr>
        <w:pStyle w:val="Sansinterligne"/>
        <w:jc w:val="both"/>
      </w:pPr>
    </w:p>
    <w:p w14:paraId="717F04E7" w14:textId="77777777" w:rsidR="004559F6" w:rsidRDefault="004559F6" w:rsidP="004559F6">
      <w:pPr>
        <w:pStyle w:val="Sansinterligne"/>
        <w:jc w:val="both"/>
      </w:pPr>
      <w:r w:rsidRPr="00656723">
        <w:t>Un bilan annuel devra être réalisé et transmis au plus tard au 31 janvier de l’année suivante. Il permettra d’analyser les résultats atteints et les besoins par territoire, afin d’ajuster les projets et de déterminer l’attribution des financements de l’année suivante en fonction des résultats constatés.</w:t>
      </w:r>
    </w:p>
    <w:p w14:paraId="30EC0562" w14:textId="77777777" w:rsidR="004559F6" w:rsidRDefault="004559F6" w:rsidP="004559F6">
      <w:pPr>
        <w:pStyle w:val="Sansinterligne"/>
        <w:jc w:val="both"/>
      </w:pPr>
    </w:p>
    <w:p w14:paraId="6096A3E4" w14:textId="77777777" w:rsidR="004D7FC3" w:rsidRDefault="004D7FC3" w:rsidP="004D7FC3">
      <w:pPr>
        <w:pStyle w:val="Sansinterligne"/>
        <w:jc w:val="both"/>
      </w:pPr>
      <w:r>
        <w:t xml:space="preserve">Ces bilans devront comporter des résultats chiffrés et une évaluation de la réalisation. </w:t>
      </w:r>
    </w:p>
    <w:p w14:paraId="0E1A3A79" w14:textId="77777777" w:rsidR="004D7FC3" w:rsidRDefault="004D7FC3" w:rsidP="004D7FC3">
      <w:pPr>
        <w:pStyle w:val="Sansinterligne"/>
        <w:jc w:val="both"/>
      </w:pPr>
    </w:p>
    <w:p w14:paraId="1F41E2DD" w14:textId="7517E562" w:rsidR="004D7FC3" w:rsidRDefault="004D7FC3" w:rsidP="004D7FC3">
      <w:pPr>
        <w:pStyle w:val="Sansinterligne"/>
        <w:jc w:val="both"/>
      </w:pPr>
      <w:r>
        <w:t>Les critères d’évaluations suivants sont attendus :</w:t>
      </w:r>
    </w:p>
    <w:p w14:paraId="30C7D39E" w14:textId="77777777" w:rsidR="003F5071" w:rsidRDefault="003F5071" w:rsidP="004D7FC3">
      <w:pPr>
        <w:pStyle w:val="Sansinterligne"/>
        <w:jc w:val="both"/>
      </w:pPr>
    </w:p>
    <w:p w14:paraId="316696E1" w14:textId="77777777" w:rsidR="003F5071" w:rsidRDefault="003F5071" w:rsidP="003F5071">
      <w:pPr>
        <w:pStyle w:val="Sansinterligne"/>
        <w:numPr>
          <w:ilvl w:val="1"/>
          <w:numId w:val="2"/>
        </w:numPr>
        <w:rPr>
          <w:rFonts w:asciiTheme="majorHAnsi" w:hAnsiTheme="majorHAnsi" w:cstheme="majorHAnsi"/>
        </w:rPr>
      </w:pPr>
      <w:r>
        <w:rPr>
          <w:rFonts w:asciiTheme="majorHAnsi" w:hAnsiTheme="majorHAnsi" w:cstheme="majorHAnsi"/>
        </w:rPr>
        <w:t>Nombre de bRSA orienté vers l’action</w:t>
      </w:r>
    </w:p>
    <w:p w14:paraId="47B6FC05" w14:textId="77777777" w:rsidR="003F5071" w:rsidRDefault="003F5071" w:rsidP="003F5071">
      <w:pPr>
        <w:pStyle w:val="Sansinterligne"/>
        <w:numPr>
          <w:ilvl w:val="1"/>
          <w:numId w:val="2"/>
        </w:numPr>
        <w:rPr>
          <w:rFonts w:asciiTheme="majorHAnsi" w:hAnsiTheme="majorHAnsi" w:cstheme="majorHAnsi"/>
        </w:rPr>
      </w:pPr>
      <w:r>
        <w:rPr>
          <w:rFonts w:asciiTheme="majorHAnsi" w:hAnsiTheme="majorHAnsi" w:cstheme="majorHAnsi"/>
        </w:rPr>
        <w:t>Nombre de bRSA ayant accédé à une action emploi / formation trois mois après l’action</w:t>
      </w:r>
    </w:p>
    <w:p w14:paraId="51EF3431" w14:textId="77777777" w:rsidR="003F5071" w:rsidRDefault="003F5071" w:rsidP="003F5071">
      <w:pPr>
        <w:pStyle w:val="Sansinterligne"/>
        <w:numPr>
          <w:ilvl w:val="1"/>
          <w:numId w:val="2"/>
        </w:numPr>
        <w:rPr>
          <w:rFonts w:asciiTheme="majorHAnsi" w:hAnsiTheme="majorHAnsi" w:cstheme="majorHAnsi"/>
        </w:rPr>
      </w:pPr>
      <w:r>
        <w:rPr>
          <w:rFonts w:asciiTheme="majorHAnsi" w:hAnsiTheme="majorHAnsi" w:cstheme="majorHAnsi"/>
        </w:rPr>
        <w:t>Nombre de déménagement dans l’objectif de retrouver un emploi</w:t>
      </w:r>
    </w:p>
    <w:p w14:paraId="60B2169D" w14:textId="77777777" w:rsidR="003F5071" w:rsidRDefault="003F5071" w:rsidP="003F5071">
      <w:pPr>
        <w:pStyle w:val="Sansinterligne"/>
        <w:numPr>
          <w:ilvl w:val="1"/>
          <w:numId w:val="2"/>
        </w:numPr>
        <w:rPr>
          <w:rFonts w:asciiTheme="majorHAnsi" w:hAnsiTheme="majorHAnsi" w:cstheme="majorHAnsi"/>
        </w:rPr>
      </w:pPr>
      <w:r>
        <w:rPr>
          <w:rFonts w:asciiTheme="majorHAnsi" w:hAnsiTheme="majorHAnsi" w:cstheme="majorHAnsi"/>
        </w:rPr>
        <w:lastRenderedPageBreak/>
        <w:t>Taux de satisfaction des bénéficiaires</w:t>
      </w:r>
    </w:p>
    <w:p w14:paraId="2B1A6492" w14:textId="77777777" w:rsidR="003F5071" w:rsidRPr="00574138" w:rsidRDefault="003F5071" w:rsidP="003F5071">
      <w:pPr>
        <w:pStyle w:val="Sansinterligne"/>
        <w:numPr>
          <w:ilvl w:val="1"/>
          <w:numId w:val="2"/>
        </w:numPr>
        <w:rPr>
          <w:rFonts w:asciiTheme="majorHAnsi" w:hAnsiTheme="majorHAnsi" w:cstheme="majorHAnsi"/>
        </w:rPr>
      </w:pPr>
      <w:r>
        <w:rPr>
          <w:rFonts w:asciiTheme="majorHAnsi" w:hAnsiTheme="majorHAnsi" w:cstheme="majorHAnsi"/>
        </w:rPr>
        <w:t>Taux de bénéficiaire n’ayant plus de freins mobilité</w:t>
      </w:r>
    </w:p>
    <w:p w14:paraId="29055EFE" w14:textId="77777777" w:rsidR="004D7FC3" w:rsidRDefault="004D7FC3" w:rsidP="004D7FC3">
      <w:pPr>
        <w:pStyle w:val="Sansinterligne"/>
        <w:jc w:val="both"/>
      </w:pPr>
    </w:p>
    <w:p w14:paraId="5D55A3FC" w14:textId="77777777" w:rsidR="004D7FC3" w:rsidRDefault="004D7FC3"/>
    <w:sectPr w:rsidR="004D7FC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C92C6" w14:textId="77777777" w:rsidR="00F33F0A" w:rsidRDefault="00F33F0A" w:rsidP="001D46EF">
      <w:pPr>
        <w:spacing w:line="240" w:lineRule="auto"/>
      </w:pPr>
      <w:r>
        <w:separator/>
      </w:r>
    </w:p>
  </w:endnote>
  <w:endnote w:type="continuationSeparator" w:id="0">
    <w:p w14:paraId="7BC8F345" w14:textId="77777777" w:rsidR="00F33F0A" w:rsidRDefault="00F33F0A" w:rsidP="001D46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23924"/>
      <w:docPartObj>
        <w:docPartGallery w:val="Page Numbers (Bottom of Page)"/>
        <w:docPartUnique/>
      </w:docPartObj>
    </w:sdtPr>
    <w:sdtEndPr/>
    <w:sdtContent>
      <w:p w14:paraId="65C4F737" w14:textId="77777777" w:rsidR="00D810B2" w:rsidRDefault="000D0F4F">
        <w:pPr>
          <w:pStyle w:val="Pieddepage"/>
          <w:jc w:val="right"/>
        </w:pPr>
        <w:r>
          <w:fldChar w:fldCharType="begin"/>
        </w:r>
        <w:r>
          <w:instrText>PAGE   \* MERGEFORMAT</w:instrText>
        </w:r>
        <w:r>
          <w:fldChar w:fldCharType="separate"/>
        </w:r>
        <w:r>
          <w:t>2</w:t>
        </w:r>
        <w:r>
          <w:fldChar w:fldCharType="end"/>
        </w:r>
      </w:p>
    </w:sdtContent>
  </w:sdt>
  <w:p w14:paraId="504CE34E" w14:textId="77777777" w:rsidR="00D810B2" w:rsidRDefault="009B5F2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FE5F" w14:textId="77777777" w:rsidR="00F33F0A" w:rsidRDefault="00F33F0A" w:rsidP="001D46EF">
      <w:pPr>
        <w:spacing w:line="240" w:lineRule="auto"/>
      </w:pPr>
      <w:r>
        <w:separator/>
      </w:r>
    </w:p>
  </w:footnote>
  <w:footnote w:type="continuationSeparator" w:id="0">
    <w:p w14:paraId="4CD35197" w14:textId="77777777" w:rsidR="00F33F0A" w:rsidRDefault="00F33F0A" w:rsidP="001D46EF">
      <w:pPr>
        <w:spacing w:line="240" w:lineRule="auto"/>
      </w:pPr>
      <w:r>
        <w:continuationSeparator/>
      </w:r>
    </w:p>
  </w:footnote>
  <w:footnote w:id="1">
    <w:p w14:paraId="1F33B464" w14:textId="77777777" w:rsidR="003F5071" w:rsidRDefault="003F5071" w:rsidP="003F5071">
      <w:pPr>
        <w:pStyle w:val="Notedebasdepage"/>
        <w:ind w:left="0"/>
      </w:pPr>
      <w:r>
        <w:rPr>
          <w:rStyle w:val="Appelnotedebasdep"/>
        </w:rPr>
        <w:footnoteRef/>
      </w:r>
      <w:r>
        <w:t xml:space="preserve"> </w:t>
      </w:r>
      <w:r w:rsidRPr="001567B2">
        <w:rPr>
          <w:sz w:val="16"/>
          <w:szCs w:val="16"/>
        </w:rPr>
        <w:t xml:space="preserve">Chiffres extraits des bilans de rendez-vous orientation.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32286"/>
    <w:multiLevelType w:val="hybridMultilevel"/>
    <w:tmpl w:val="7234A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AA23B2"/>
    <w:multiLevelType w:val="hybridMultilevel"/>
    <w:tmpl w:val="95DEFA0C"/>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3FFE46DA"/>
    <w:multiLevelType w:val="hybridMultilevel"/>
    <w:tmpl w:val="F274D660"/>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AE107C8"/>
    <w:multiLevelType w:val="hybridMultilevel"/>
    <w:tmpl w:val="7FB23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4B76635"/>
    <w:multiLevelType w:val="hybridMultilevel"/>
    <w:tmpl w:val="78560ABE"/>
    <w:lvl w:ilvl="0" w:tplc="73726D48">
      <w:numFmt w:val="bullet"/>
      <w:lvlText w:val="•"/>
      <w:lvlJc w:val="left"/>
      <w:pPr>
        <w:ind w:left="1068" w:hanging="360"/>
      </w:pPr>
      <w:rPr>
        <w:rFonts w:ascii="Calibri" w:eastAsiaTheme="minorHAnsi" w:hAnsi="Calibri" w:cs="Calibri" w:hint="default"/>
      </w:rPr>
    </w:lvl>
    <w:lvl w:ilvl="1" w:tplc="F3EC338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C0291F"/>
    <w:multiLevelType w:val="hybridMultilevel"/>
    <w:tmpl w:val="67AA7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EF"/>
    <w:rsid w:val="000D0F4F"/>
    <w:rsid w:val="001D46EF"/>
    <w:rsid w:val="00245045"/>
    <w:rsid w:val="003F5071"/>
    <w:rsid w:val="004559F6"/>
    <w:rsid w:val="004806CA"/>
    <w:rsid w:val="004D7FC3"/>
    <w:rsid w:val="005E262F"/>
    <w:rsid w:val="008137FA"/>
    <w:rsid w:val="008433D1"/>
    <w:rsid w:val="00941420"/>
    <w:rsid w:val="009B5F2D"/>
    <w:rsid w:val="00BC7D15"/>
    <w:rsid w:val="00CC294A"/>
    <w:rsid w:val="00F33F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6063"/>
  <w15:chartTrackingRefBased/>
  <w15:docId w15:val="{3ECB02E0-FC64-4285-81BA-CF4A1694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6EF"/>
    <w:pPr>
      <w:spacing w:after="0" w:line="288" w:lineRule="auto"/>
      <w:ind w:left="1525"/>
      <w:jc w:val="both"/>
    </w:pPr>
    <w:rPr>
      <w:rFonts w:ascii="Arial" w:eastAsia="Times New Roman" w:hAnsi="Arial" w:cs="Times New Roman"/>
      <w:sz w:val="1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D46EF"/>
    <w:pPr>
      <w:spacing w:after="0" w:line="240" w:lineRule="auto"/>
    </w:pPr>
  </w:style>
  <w:style w:type="paragraph" w:customStyle="1" w:styleId="Corpsdutexte">
    <w:name w:val="Corps du texte"/>
    <w:basedOn w:val="Normal"/>
    <w:uiPriority w:val="99"/>
    <w:rsid w:val="001D46EF"/>
    <w:pPr>
      <w:spacing w:after="200"/>
    </w:pPr>
    <w:rPr>
      <w:sz w:val="20"/>
      <w:szCs w:val="24"/>
      <w:lang w:eastAsia="fr-FR"/>
    </w:rPr>
  </w:style>
  <w:style w:type="paragraph" w:styleId="Notedebasdepage">
    <w:name w:val="footnote text"/>
    <w:basedOn w:val="Normal"/>
    <w:link w:val="NotedebasdepageCar"/>
    <w:uiPriority w:val="99"/>
    <w:semiHidden/>
    <w:unhideWhenUsed/>
    <w:rsid w:val="001D46EF"/>
    <w:pPr>
      <w:spacing w:line="240" w:lineRule="auto"/>
    </w:pPr>
    <w:rPr>
      <w:sz w:val="20"/>
    </w:rPr>
  </w:style>
  <w:style w:type="character" w:customStyle="1" w:styleId="NotedebasdepageCar">
    <w:name w:val="Note de bas de page Car"/>
    <w:basedOn w:val="Policepardfaut"/>
    <w:link w:val="Notedebasdepage"/>
    <w:uiPriority w:val="99"/>
    <w:semiHidden/>
    <w:rsid w:val="001D46EF"/>
    <w:rPr>
      <w:rFonts w:ascii="Arial" w:eastAsia="Times New Roman" w:hAnsi="Arial" w:cs="Times New Roman"/>
      <w:sz w:val="20"/>
      <w:szCs w:val="20"/>
    </w:rPr>
  </w:style>
  <w:style w:type="character" w:styleId="Appelnotedebasdep">
    <w:name w:val="footnote reference"/>
    <w:basedOn w:val="Policepardfaut"/>
    <w:uiPriority w:val="99"/>
    <w:semiHidden/>
    <w:unhideWhenUsed/>
    <w:rsid w:val="001D46EF"/>
    <w:rPr>
      <w:vertAlign w:val="superscript"/>
    </w:rPr>
  </w:style>
  <w:style w:type="paragraph" w:styleId="Paragraphedeliste">
    <w:name w:val="List Paragraph"/>
    <w:basedOn w:val="Normal"/>
    <w:uiPriority w:val="34"/>
    <w:qFormat/>
    <w:rsid w:val="001D46EF"/>
    <w:pPr>
      <w:ind w:left="720"/>
      <w:contextualSpacing/>
    </w:pPr>
  </w:style>
  <w:style w:type="paragraph" w:styleId="Pieddepage">
    <w:name w:val="footer"/>
    <w:basedOn w:val="Normal"/>
    <w:link w:val="PieddepageCar"/>
    <w:uiPriority w:val="99"/>
    <w:unhideWhenUsed/>
    <w:rsid w:val="001D46EF"/>
    <w:pPr>
      <w:tabs>
        <w:tab w:val="center" w:pos="4536"/>
        <w:tab w:val="right" w:pos="9072"/>
      </w:tabs>
      <w:spacing w:line="240" w:lineRule="auto"/>
    </w:pPr>
  </w:style>
  <w:style w:type="character" w:customStyle="1" w:styleId="PieddepageCar">
    <w:name w:val="Pied de page Car"/>
    <w:basedOn w:val="Policepardfaut"/>
    <w:link w:val="Pieddepage"/>
    <w:uiPriority w:val="99"/>
    <w:rsid w:val="001D46EF"/>
    <w:rPr>
      <w:rFonts w:ascii="Arial" w:eastAsia="Times New Roman" w:hAnsi="Arial" w:cs="Times New Roman"/>
      <w:sz w:val="16"/>
      <w:szCs w:val="20"/>
    </w:rPr>
  </w:style>
  <w:style w:type="character" w:styleId="Marquedecommentaire">
    <w:name w:val="annotation reference"/>
    <w:basedOn w:val="Policepardfaut"/>
    <w:rsid w:val="001D46EF"/>
    <w:rPr>
      <w:sz w:val="16"/>
      <w:szCs w:val="16"/>
    </w:rPr>
  </w:style>
  <w:style w:type="paragraph" w:styleId="Commentaire">
    <w:name w:val="annotation text"/>
    <w:basedOn w:val="Normal"/>
    <w:link w:val="CommentaireCar"/>
    <w:rsid w:val="001D46EF"/>
    <w:pPr>
      <w:spacing w:line="240" w:lineRule="auto"/>
    </w:pPr>
    <w:rPr>
      <w:sz w:val="20"/>
    </w:rPr>
  </w:style>
  <w:style w:type="character" w:customStyle="1" w:styleId="CommentaireCar">
    <w:name w:val="Commentaire Car"/>
    <w:basedOn w:val="Policepardfaut"/>
    <w:link w:val="Commentaire"/>
    <w:rsid w:val="001D46EF"/>
    <w:rPr>
      <w:rFonts w:ascii="Arial" w:eastAsia="Times New Roman" w:hAnsi="Arial" w:cs="Times New Roman"/>
      <w:sz w:val="20"/>
      <w:szCs w:val="20"/>
    </w:rPr>
  </w:style>
  <w:style w:type="paragraph" w:styleId="Objetducommentaire">
    <w:name w:val="annotation subject"/>
    <w:basedOn w:val="Commentaire"/>
    <w:next w:val="Commentaire"/>
    <w:link w:val="ObjetducommentaireCar"/>
    <w:uiPriority w:val="99"/>
    <w:semiHidden/>
    <w:unhideWhenUsed/>
    <w:rsid w:val="005E262F"/>
    <w:rPr>
      <w:b/>
      <w:bCs/>
    </w:rPr>
  </w:style>
  <w:style w:type="character" w:customStyle="1" w:styleId="ObjetducommentaireCar">
    <w:name w:val="Objet du commentaire Car"/>
    <w:basedOn w:val="CommentaireCar"/>
    <w:link w:val="Objetducommentaire"/>
    <w:uiPriority w:val="99"/>
    <w:semiHidden/>
    <w:rsid w:val="005E262F"/>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69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709</Words>
  <Characters>3901</Characters>
  <Application>Microsoft Office Word</Application>
  <DocSecurity>0</DocSecurity>
  <Lines>32</Lines>
  <Paragraphs>9</Paragraphs>
  <ScaleCrop>false</ScaleCrop>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NEGRIE PEGGY</dc:creator>
  <cp:keywords/>
  <dc:description/>
  <cp:lastModifiedBy>PROST CELINE</cp:lastModifiedBy>
  <cp:revision>10</cp:revision>
  <dcterms:created xsi:type="dcterms:W3CDTF">2026-02-03T14:24:00Z</dcterms:created>
  <dcterms:modified xsi:type="dcterms:W3CDTF">2026-03-11T21:20:00Z</dcterms:modified>
</cp:coreProperties>
</file>